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2"/>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FC341C" w:rsidRPr="00D37D34">
        <w:rPr>
          <w:rFonts w:ascii="MiloOT-Medi" w:hAnsi="MiloOT-Medi" w:cstheme="minorHAnsi"/>
          <w:color w:val="00AB96"/>
          <w:sz w:val="16"/>
          <w:szCs w:val="16"/>
        </w:rPr>
      </w:r>
      <w:r w:rsidR="00661C16">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2"/>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FC341C" w:rsidRPr="00D37D34">
        <w:rPr>
          <w:rFonts w:ascii="MiloOT-Medi" w:hAnsi="MiloOT-Medi"/>
          <w:color w:val="002F5D"/>
          <w:sz w:val="16"/>
          <w:szCs w:val="16"/>
        </w:rPr>
      </w:r>
      <w:r w:rsidR="00661C16">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FC341C" w:rsidRPr="00EF412A">
        <w:rPr>
          <w:rFonts w:ascii="MiloOT-Light" w:hAnsi="MiloOT-Light"/>
          <w:color w:val="002F5D"/>
          <w:sz w:val="16"/>
          <w:szCs w:val="16"/>
        </w:rPr>
      </w:r>
      <w:r w:rsidR="00661C16">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FC341C" w:rsidRPr="00EF412A">
        <w:rPr>
          <w:rFonts w:ascii="MiloOT-Light" w:hAnsi="MiloOT-Light"/>
          <w:color w:val="002F5D"/>
          <w:sz w:val="16"/>
          <w:szCs w:val="16"/>
        </w:rPr>
      </w:r>
      <w:r w:rsidR="00661C16">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2"/>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FC341C">
        <w:rPr>
          <w:rFonts w:ascii="MiloOT-Light" w:hAnsi="MiloOT-Light"/>
          <w:color w:val="002F5D"/>
          <w:sz w:val="16"/>
          <w:szCs w:val="16"/>
        </w:rPr>
      </w:r>
      <w:r w:rsidR="00661C16">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FC341C"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FC341C"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r:link="rId9">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596431" w:rsidP="00DD75CD">
      <w:pPr>
        <w:spacing w:after="120" w:line="280" w:lineRule="exact"/>
        <w:ind w:right="-29"/>
        <w:rPr>
          <w:b/>
        </w:rPr>
      </w:pPr>
      <w:r w:rsidRPr="00BC3231">
        <w:rPr>
          <w:sz w:val="21"/>
          <w:szCs w:val="21"/>
        </w:rPr>
        <w:lastRenderedPageBreak/>
        <w:fldChar w:fldCharType="begin"/>
      </w:r>
      <w:r w:rsidR="00DD75CD" w:rsidRPr="00BC3231">
        <w:rPr>
          <w:sz w:val="21"/>
          <w:szCs w:val="21"/>
        </w:rPr>
        <w:instrText xml:space="preserve"> CREATEDATE  \@ "d. MMMM yyyy"  \* MERGEFORMAT </w:instrText>
      </w:r>
      <w:r w:rsidRPr="00BC3231">
        <w:rPr>
          <w:sz w:val="21"/>
          <w:szCs w:val="21"/>
        </w:rPr>
        <w:fldChar w:fldCharType="separate"/>
      </w:r>
      <w:r w:rsidR="00661C16">
        <w:rPr>
          <w:noProof/>
          <w:sz w:val="21"/>
          <w:szCs w:val="21"/>
        </w:rPr>
        <w:t>5. Mai 2021</w:t>
      </w:r>
      <w:r w:rsidRPr="00BC3231">
        <w:rPr>
          <w:sz w:val="21"/>
          <w:szCs w:val="21"/>
        </w:rPr>
        <w:fldChar w:fldCharType="end"/>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FC341C" w:rsidP="00195FBC">
      <w:pPr>
        <w:spacing w:after="120" w:line="300" w:lineRule="exact"/>
        <w:ind w:right="-28"/>
        <w:jc w:val="both"/>
        <w:rPr>
          <w:b/>
          <w:sz w:val="24"/>
          <w:szCs w:val="21"/>
        </w:rPr>
      </w:pPr>
      <w:bookmarkStart w:id="4" w:name="Anschrift"/>
      <w:bookmarkEnd w:id="4"/>
      <w:r>
        <w:rPr>
          <w:b/>
          <w:sz w:val="24"/>
          <w:szCs w:val="21"/>
        </w:rPr>
        <w:lastRenderedPageBreak/>
        <w:t>Beim Lieferkettengesetz nichts überstürzen</w:t>
      </w:r>
    </w:p>
    <w:p w:rsidR="00DD75CD" w:rsidRPr="00F71684" w:rsidRDefault="00FC341C" w:rsidP="00195FBC">
      <w:pPr>
        <w:spacing w:after="240" w:line="300" w:lineRule="exact"/>
        <w:ind w:right="-28"/>
        <w:jc w:val="both"/>
        <w:rPr>
          <w:b/>
          <w:sz w:val="21"/>
          <w:szCs w:val="21"/>
        </w:rPr>
      </w:pPr>
      <w:r>
        <w:rPr>
          <w:b/>
          <w:sz w:val="21"/>
          <w:szCs w:val="21"/>
        </w:rPr>
        <w:t xml:space="preserve">Der Handelsverband Wohnen und Büro e.V. (HWB) spricht sich deutlich gegen die Einbeziehung von KMUs </w:t>
      </w:r>
      <w:r w:rsidR="007029EA">
        <w:rPr>
          <w:b/>
          <w:sz w:val="21"/>
          <w:szCs w:val="21"/>
        </w:rPr>
        <w:t>in den Lieferketten</w:t>
      </w:r>
      <w:r w:rsidR="00CC283E">
        <w:rPr>
          <w:b/>
          <w:sz w:val="21"/>
          <w:szCs w:val="21"/>
        </w:rPr>
        <w:t>gesetz</w:t>
      </w:r>
      <w:r w:rsidR="007029EA">
        <w:rPr>
          <w:b/>
          <w:sz w:val="21"/>
          <w:szCs w:val="21"/>
        </w:rPr>
        <w:t>entwurf aus</w:t>
      </w:r>
      <w:r>
        <w:rPr>
          <w:b/>
          <w:sz w:val="21"/>
          <w:szCs w:val="21"/>
        </w:rPr>
        <w:t xml:space="preserve">. Dies </w:t>
      </w:r>
      <w:r w:rsidR="00A839CA">
        <w:rPr>
          <w:b/>
          <w:sz w:val="21"/>
          <w:szCs w:val="21"/>
        </w:rPr>
        <w:t>könnte</w:t>
      </w:r>
      <w:r>
        <w:rPr>
          <w:b/>
          <w:sz w:val="21"/>
          <w:szCs w:val="21"/>
        </w:rPr>
        <w:t xml:space="preserve"> innerhalb der EU zu Wettbewerbsverzerrung</w:t>
      </w:r>
      <w:r w:rsidR="00661C16">
        <w:rPr>
          <w:b/>
          <w:sz w:val="21"/>
          <w:szCs w:val="21"/>
        </w:rPr>
        <w:t>en</w:t>
      </w:r>
      <w:bookmarkStart w:id="5" w:name="_GoBack"/>
      <w:bookmarkEnd w:id="5"/>
      <w:r>
        <w:rPr>
          <w:b/>
          <w:sz w:val="21"/>
          <w:szCs w:val="21"/>
        </w:rPr>
        <w:t xml:space="preserve"> </w:t>
      </w:r>
      <w:r w:rsidR="00A839CA">
        <w:rPr>
          <w:b/>
          <w:sz w:val="21"/>
          <w:szCs w:val="21"/>
        </w:rPr>
        <w:t>führen und wäre</w:t>
      </w:r>
      <w:r>
        <w:rPr>
          <w:b/>
          <w:sz w:val="21"/>
          <w:szCs w:val="21"/>
        </w:rPr>
        <w:t xml:space="preserve"> g</w:t>
      </w:r>
      <w:r w:rsidR="00A839CA">
        <w:rPr>
          <w:b/>
          <w:sz w:val="21"/>
          <w:szCs w:val="21"/>
        </w:rPr>
        <w:t>erade für den stationären Fach</w:t>
      </w:r>
      <w:r>
        <w:rPr>
          <w:b/>
          <w:sz w:val="21"/>
          <w:szCs w:val="21"/>
        </w:rPr>
        <w:t xml:space="preserve">handel im geschäftlichen Alltag </w:t>
      </w:r>
      <w:r w:rsidR="00A839CA">
        <w:rPr>
          <w:b/>
          <w:sz w:val="21"/>
          <w:szCs w:val="21"/>
        </w:rPr>
        <w:t>schwer</w:t>
      </w:r>
      <w:r>
        <w:rPr>
          <w:b/>
          <w:sz w:val="21"/>
          <w:szCs w:val="21"/>
        </w:rPr>
        <w:t xml:space="preserve"> umsetzbar.</w:t>
      </w:r>
    </w:p>
    <w:p w:rsidR="00FC341C" w:rsidRPr="00FC341C" w:rsidRDefault="00FC341C" w:rsidP="00195FBC">
      <w:pPr>
        <w:spacing w:before="120" w:line="360" w:lineRule="auto"/>
        <w:ind w:right="-28"/>
        <w:jc w:val="both"/>
        <w:rPr>
          <w:sz w:val="21"/>
          <w:szCs w:val="21"/>
        </w:rPr>
      </w:pPr>
      <w:r>
        <w:rPr>
          <w:sz w:val="21"/>
          <w:szCs w:val="21"/>
        </w:rPr>
        <w:t xml:space="preserve">Am </w:t>
      </w:r>
      <w:r w:rsidR="00A839CA">
        <w:rPr>
          <w:sz w:val="21"/>
          <w:szCs w:val="21"/>
        </w:rPr>
        <w:t>0</w:t>
      </w:r>
      <w:r>
        <w:rPr>
          <w:sz w:val="21"/>
          <w:szCs w:val="21"/>
        </w:rPr>
        <w:t>7.</w:t>
      </w:r>
      <w:r w:rsidR="00A839CA">
        <w:rPr>
          <w:sz w:val="21"/>
          <w:szCs w:val="21"/>
        </w:rPr>
        <w:t>05.</w:t>
      </w:r>
      <w:r>
        <w:rPr>
          <w:sz w:val="21"/>
          <w:szCs w:val="21"/>
        </w:rPr>
        <w:t>2021 wird</w:t>
      </w:r>
      <w:r w:rsidRPr="00FC341C">
        <w:rPr>
          <w:sz w:val="21"/>
          <w:szCs w:val="21"/>
        </w:rPr>
        <w:t xml:space="preserve"> sich der Bundesrat mit dem Gesetzentwurf der Bundesregierung über die unternehmerischen Sorgfaltspflichten in Lieferketten</w:t>
      </w:r>
      <w:r>
        <w:rPr>
          <w:sz w:val="21"/>
          <w:szCs w:val="21"/>
        </w:rPr>
        <w:t xml:space="preserve"> befassen</w:t>
      </w:r>
      <w:r w:rsidRPr="00FC341C">
        <w:rPr>
          <w:sz w:val="21"/>
          <w:szCs w:val="21"/>
        </w:rPr>
        <w:t>. Er kann dazu Stellung nehmen, bevor die Beratungen im Bundestag abgeschlossen werden</w:t>
      </w:r>
      <w:r>
        <w:rPr>
          <w:sz w:val="21"/>
          <w:szCs w:val="21"/>
        </w:rPr>
        <w:t xml:space="preserve">. Diese haben </w:t>
      </w:r>
      <w:r w:rsidRPr="00FC341C">
        <w:rPr>
          <w:sz w:val="21"/>
          <w:szCs w:val="21"/>
        </w:rPr>
        <w:t>dor</w:t>
      </w:r>
      <w:r w:rsidR="00A839CA">
        <w:rPr>
          <w:sz w:val="21"/>
          <w:szCs w:val="21"/>
        </w:rPr>
        <w:t>t bereits am 22.04.</w:t>
      </w:r>
      <w:r w:rsidRPr="00FC341C">
        <w:rPr>
          <w:sz w:val="21"/>
          <w:szCs w:val="21"/>
        </w:rPr>
        <w:t>2021</w:t>
      </w:r>
      <w:r>
        <w:rPr>
          <w:sz w:val="21"/>
          <w:szCs w:val="21"/>
        </w:rPr>
        <w:t xml:space="preserve"> begonnen</w:t>
      </w:r>
      <w:r w:rsidRPr="00FC341C">
        <w:rPr>
          <w:sz w:val="21"/>
          <w:szCs w:val="21"/>
        </w:rPr>
        <w:t>.</w:t>
      </w:r>
    </w:p>
    <w:p w:rsidR="00A839CA" w:rsidRDefault="00FC341C" w:rsidP="00195FBC">
      <w:pPr>
        <w:spacing w:before="120" w:line="360" w:lineRule="auto"/>
        <w:ind w:right="-28"/>
        <w:jc w:val="both"/>
        <w:rPr>
          <w:sz w:val="21"/>
          <w:szCs w:val="21"/>
        </w:rPr>
      </w:pPr>
      <w:r w:rsidRPr="00FC341C">
        <w:rPr>
          <w:sz w:val="21"/>
          <w:szCs w:val="21"/>
        </w:rPr>
        <w:t>Der Vorschlag de</w:t>
      </w:r>
      <w:r w:rsidR="00070C4F">
        <w:rPr>
          <w:sz w:val="21"/>
          <w:szCs w:val="21"/>
        </w:rPr>
        <w:t>r Bundesregierung bezieht aktuell</w:t>
      </w:r>
      <w:r w:rsidRPr="00FC341C">
        <w:rPr>
          <w:sz w:val="21"/>
          <w:szCs w:val="21"/>
        </w:rPr>
        <w:t xml:space="preserve"> die KMU</w:t>
      </w:r>
      <w:r w:rsidR="00070C4F">
        <w:rPr>
          <w:sz w:val="21"/>
          <w:szCs w:val="21"/>
        </w:rPr>
        <w:t>s</w:t>
      </w:r>
      <w:r w:rsidRPr="00FC341C">
        <w:rPr>
          <w:sz w:val="21"/>
          <w:szCs w:val="21"/>
        </w:rPr>
        <w:t xml:space="preserve"> in den Anwendungsbereich nicht mit ein. Dies ist folgerichtig, da für viele mittelständische Unternehmen die Aufwendungen </w:t>
      </w:r>
      <w:r w:rsidR="00A839CA">
        <w:rPr>
          <w:sz w:val="21"/>
          <w:szCs w:val="21"/>
        </w:rPr>
        <w:t>zur Erfüllung der Vorgaben</w:t>
      </w:r>
      <w:r w:rsidRPr="00FC341C">
        <w:rPr>
          <w:sz w:val="21"/>
          <w:szCs w:val="21"/>
        </w:rPr>
        <w:t xml:space="preserve"> des Gesetzes deutlich höher ausfallen könnten. </w:t>
      </w:r>
      <w:r w:rsidR="00A839CA">
        <w:rPr>
          <w:sz w:val="21"/>
          <w:szCs w:val="21"/>
        </w:rPr>
        <w:t xml:space="preserve">In Frankreich gilt </w:t>
      </w:r>
      <w:r w:rsidRPr="00FC341C">
        <w:rPr>
          <w:sz w:val="21"/>
          <w:szCs w:val="21"/>
        </w:rPr>
        <w:t>beispielweise seit</w:t>
      </w:r>
      <w:r w:rsidRPr="00C508B3">
        <w:rPr>
          <w:sz w:val="21"/>
          <w:szCs w:val="21"/>
        </w:rPr>
        <w:t xml:space="preserve"> 201</w:t>
      </w:r>
      <w:r w:rsidR="00AF708E" w:rsidRPr="00C508B3">
        <w:rPr>
          <w:sz w:val="21"/>
          <w:szCs w:val="21"/>
        </w:rPr>
        <w:t xml:space="preserve">7 </w:t>
      </w:r>
      <w:r w:rsidR="00C508B3" w:rsidRPr="00C508B3">
        <w:rPr>
          <w:sz w:val="21"/>
          <w:szCs w:val="21"/>
        </w:rPr>
        <w:t xml:space="preserve">eine </w:t>
      </w:r>
      <w:r w:rsidR="00AF708E">
        <w:rPr>
          <w:sz w:val="21"/>
          <w:szCs w:val="21"/>
        </w:rPr>
        <w:t xml:space="preserve">andere </w:t>
      </w:r>
      <w:r w:rsidR="00A839CA">
        <w:rPr>
          <w:sz w:val="21"/>
          <w:szCs w:val="21"/>
        </w:rPr>
        <w:t>nationale</w:t>
      </w:r>
      <w:r w:rsidR="00AF708E">
        <w:rPr>
          <w:sz w:val="21"/>
          <w:szCs w:val="21"/>
        </w:rPr>
        <w:t xml:space="preserve"> Regelung:</w:t>
      </w:r>
      <w:r w:rsidRPr="00FC341C">
        <w:rPr>
          <w:sz w:val="21"/>
          <w:szCs w:val="21"/>
        </w:rPr>
        <w:t xml:space="preserve"> Dort werden </w:t>
      </w:r>
      <w:r w:rsidR="00AF708E">
        <w:rPr>
          <w:sz w:val="21"/>
          <w:szCs w:val="21"/>
        </w:rPr>
        <w:t xml:space="preserve">lediglich </w:t>
      </w:r>
      <w:r w:rsidRPr="00FC341C">
        <w:rPr>
          <w:sz w:val="21"/>
          <w:szCs w:val="21"/>
        </w:rPr>
        <w:t xml:space="preserve">Unternehmen erfasst, die einschließlich Tochterunternehmen bzw. Filialen in Frankreich mindestens 5.000 Mitarbeiter oder einschließlich Tochterunternehmen bzw. Filialen mit Sitz im Ausland mindestens 10.000 Angestellte haben. </w:t>
      </w:r>
    </w:p>
    <w:p w:rsidR="00FC341C" w:rsidRPr="002F2992" w:rsidRDefault="00A839CA" w:rsidP="00A839CA">
      <w:pPr>
        <w:spacing w:before="120" w:line="360" w:lineRule="auto"/>
        <w:ind w:right="-28"/>
        <w:jc w:val="both"/>
        <w:rPr>
          <w:sz w:val="21"/>
          <w:szCs w:val="21"/>
        </w:rPr>
      </w:pPr>
      <w:r w:rsidRPr="00FC341C">
        <w:rPr>
          <w:sz w:val="21"/>
          <w:szCs w:val="21"/>
        </w:rPr>
        <w:t xml:space="preserve">Die Europäische Kommission beabsichtigt im Juni/Juli 2021 einen eigenen Gesetzgebungsvorschlag </w:t>
      </w:r>
      <w:r>
        <w:rPr>
          <w:sz w:val="21"/>
          <w:szCs w:val="21"/>
        </w:rPr>
        <w:t xml:space="preserve">für alle </w:t>
      </w:r>
      <w:r w:rsidRPr="002F2992">
        <w:rPr>
          <w:sz w:val="21"/>
          <w:szCs w:val="21"/>
        </w:rPr>
        <w:t xml:space="preserve">Mitgliedsstaaten </w:t>
      </w:r>
      <w:r w:rsidRPr="002F2992">
        <w:rPr>
          <w:sz w:val="21"/>
          <w:szCs w:val="21"/>
        </w:rPr>
        <w:t xml:space="preserve">vorzulegen. </w:t>
      </w:r>
      <w:r w:rsidRPr="002F2992">
        <w:rPr>
          <w:sz w:val="21"/>
          <w:szCs w:val="21"/>
        </w:rPr>
        <w:t xml:space="preserve">Der HWB plädiert dafür, dass die EU-Kommission zunächst einen </w:t>
      </w:r>
      <w:r w:rsidRPr="002F2992">
        <w:rPr>
          <w:sz w:val="21"/>
          <w:szCs w:val="21"/>
        </w:rPr>
        <w:t>konkrete</w:t>
      </w:r>
      <w:r w:rsidRPr="002F2992">
        <w:rPr>
          <w:sz w:val="21"/>
          <w:szCs w:val="21"/>
        </w:rPr>
        <w:t>n</w:t>
      </w:r>
      <w:r w:rsidRPr="002F2992">
        <w:rPr>
          <w:sz w:val="21"/>
          <w:szCs w:val="21"/>
        </w:rPr>
        <w:t xml:space="preserve"> Vorschl</w:t>
      </w:r>
      <w:r w:rsidRPr="002F2992">
        <w:rPr>
          <w:sz w:val="21"/>
          <w:szCs w:val="21"/>
        </w:rPr>
        <w:t>a</w:t>
      </w:r>
      <w:r w:rsidRPr="002F2992">
        <w:rPr>
          <w:sz w:val="21"/>
          <w:szCs w:val="21"/>
        </w:rPr>
        <w:t>g</w:t>
      </w:r>
      <w:r w:rsidRPr="002F2992">
        <w:rPr>
          <w:sz w:val="21"/>
          <w:szCs w:val="21"/>
        </w:rPr>
        <w:t xml:space="preserve"> vorlegen soll, um ein</w:t>
      </w:r>
      <w:r w:rsidR="00FC341C" w:rsidRPr="002F2992">
        <w:rPr>
          <w:sz w:val="21"/>
          <w:szCs w:val="21"/>
        </w:rPr>
        <w:t xml:space="preserve"> europäische</w:t>
      </w:r>
      <w:r w:rsidRPr="002F2992">
        <w:rPr>
          <w:sz w:val="21"/>
          <w:szCs w:val="21"/>
        </w:rPr>
        <w:t>s</w:t>
      </w:r>
      <w:r w:rsidR="00FC341C" w:rsidRPr="002F2992">
        <w:rPr>
          <w:sz w:val="21"/>
          <w:szCs w:val="21"/>
        </w:rPr>
        <w:t xml:space="preserve"> Level-</w:t>
      </w:r>
      <w:proofErr w:type="spellStart"/>
      <w:r w:rsidR="00FC341C" w:rsidRPr="002F2992">
        <w:rPr>
          <w:sz w:val="21"/>
          <w:szCs w:val="21"/>
        </w:rPr>
        <w:t>Playing</w:t>
      </w:r>
      <w:proofErr w:type="spellEnd"/>
      <w:r w:rsidR="00FC341C" w:rsidRPr="002F2992">
        <w:rPr>
          <w:sz w:val="21"/>
          <w:szCs w:val="21"/>
        </w:rPr>
        <w:t xml:space="preserve">-Field </w:t>
      </w:r>
      <w:r w:rsidRPr="002F2992">
        <w:rPr>
          <w:sz w:val="21"/>
          <w:szCs w:val="21"/>
        </w:rPr>
        <w:t xml:space="preserve">für die Unternehmen </w:t>
      </w:r>
      <w:r w:rsidR="00CC283E" w:rsidRPr="002F2992">
        <w:rPr>
          <w:sz w:val="21"/>
          <w:szCs w:val="21"/>
        </w:rPr>
        <w:t>zu gewährleisten</w:t>
      </w:r>
      <w:r w:rsidR="00FC341C" w:rsidRPr="002F2992">
        <w:rPr>
          <w:sz w:val="21"/>
          <w:szCs w:val="21"/>
        </w:rPr>
        <w:t>.</w:t>
      </w:r>
    </w:p>
    <w:p w:rsidR="00AF708E" w:rsidRDefault="00AF708E" w:rsidP="00195FBC">
      <w:pPr>
        <w:spacing w:before="120" w:line="360" w:lineRule="auto"/>
        <w:ind w:right="-28"/>
        <w:jc w:val="both"/>
        <w:rPr>
          <w:sz w:val="21"/>
          <w:szCs w:val="21"/>
        </w:rPr>
      </w:pPr>
      <w:r w:rsidRPr="00FC341C">
        <w:rPr>
          <w:sz w:val="21"/>
          <w:szCs w:val="21"/>
        </w:rPr>
        <w:t>„Wichtig ist, dass das Lieferkettengesetz mit den beabsichtigten europäischen Vorgaben</w:t>
      </w:r>
      <w:r w:rsidR="007029EA">
        <w:rPr>
          <w:sz w:val="21"/>
          <w:szCs w:val="21"/>
        </w:rPr>
        <w:t xml:space="preserve"> im Einklang steht. Denn</w:t>
      </w:r>
      <w:r w:rsidRPr="00FC341C">
        <w:rPr>
          <w:sz w:val="21"/>
          <w:szCs w:val="21"/>
        </w:rPr>
        <w:t xml:space="preserve"> Spielregeln sind für Unternehmen in der </w:t>
      </w:r>
      <w:r>
        <w:rPr>
          <w:sz w:val="21"/>
          <w:szCs w:val="21"/>
        </w:rPr>
        <w:t>EU gleichermaßen anzuwenden, so</w:t>
      </w:r>
      <w:r w:rsidRPr="00FC341C">
        <w:rPr>
          <w:sz w:val="21"/>
          <w:szCs w:val="21"/>
        </w:rPr>
        <w:t xml:space="preserve">dass </w:t>
      </w:r>
      <w:r>
        <w:rPr>
          <w:sz w:val="21"/>
          <w:szCs w:val="21"/>
        </w:rPr>
        <w:t xml:space="preserve">der stationäre Fachhandel und mittelständische </w:t>
      </w:r>
      <w:r w:rsidRPr="00FC341C">
        <w:rPr>
          <w:sz w:val="21"/>
          <w:szCs w:val="21"/>
        </w:rPr>
        <w:t>Unternehmen ke</w:t>
      </w:r>
      <w:r>
        <w:rPr>
          <w:sz w:val="21"/>
          <w:szCs w:val="21"/>
        </w:rPr>
        <w:t>in Wettbewerbsnachteil erleiden</w:t>
      </w:r>
      <w:r>
        <w:rPr>
          <w:sz w:val="21"/>
          <w:szCs w:val="21"/>
        </w:rPr>
        <w:t>“, erläutert</w:t>
      </w:r>
      <w:r w:rsidRPr="00FC341C">
        <w:rPr>
          <w:sz w:val="21"/>
          <w:szCs w:val="21"/>
        </w:rPr>
        <w:t xml:space="preserve"> Christian Haeser, Geschäftsführer Handelsv</w:t>
      </w:r>
      <w:r>
        <w:rPr>
          <w:sz w:val="21"/>
          <w:szCs w:val="21"/>
        </w:rPr>
        <w:t>erband Wohnen und Büro e.V</w:t>
      </w:r>
      <w:r w:rsidRPr="00FC341C">
        <w:rPr>
          <w:sz w:val="21"/>
          <w:szCs w:val="21"/>
        </w:rPr>
        <w:t>.</w:t>
      </w:r>
    </w:p>
    <w:p w:rsidR="00AF708E" w:rsidRPr="00FC341C" w:rsidRDefault="00AF708E" w:rsidP="00AF708E">
      <w:pPr>
        <w:spacing w:before="120" w:line="360" w:lineRule="auto"/>
        <w:ind w:right="-28"/>
        <w:jc w:val="both"/>
        <w:rPr>
          <w:sz w:val="21"/>
          <w:szCs w:val="21"/>
        </w:rPr>
      </w:pPr>
      <w:r w:rsidRPr="00FC341C">
        <w:rPr>
          <w:sz w:val="21"/>
          <w:szCs w:val="21"/>
        </w:rPr>
        <w:t>De</w:t>
      </w:r>
      <w:r w:rsidR="00CC283E">
        <w:rPr>
          <w:sz w:val="21"/>
          <w:szCs w:val="21"/>
        </w:rPr>
        <w:t>r HWB</w:t>
      </w:r>
      <w:r w:rsidRPr="00FC341C">
        <w:rPr>
          <w:sz w:val="21"/>
          <w:szCs w:val="21"/>
        </w:rPr>
        <w:t xml:space="preserve"> sieht in den vorgelegten Änderungs</w:t>
      </w:r>
      <w:r>
        <w:rPr>
          <w:sz w:val="21"/>
          <w:szCs w:val="21"/>
        </w:rPr>
        <w:t>anträgen der Fachausschüsse</w:t>
      </w:r>
      <w:r w:rsidR="00CC283E">
        <w:rPr>
          <w:sz w:val="21"/>
          <w:szCs w:val="21"/>
        </w:rPr>
        <w:t xml:space="preserve"> des Bundesrates</w:t>
      </w:r>
      <w:r>
        <w:rPr>
          <w:sz w:val="21"/>
          <w:szCs w:val="21"/>
        </w:rPr>
        <w:t xml:space="preserve"> </w:t>
      </w:r>
      <w:r w:rsidR="002F2992">
        <w:rPr>
          <w:sz w:val="21"/>
          <w:szCs w:val="21"/>
        </w:rPr>
        <w:t>unabwägbare Auswirkungen</w:t>
      </w:r>
      <w:r w:rsidRPr="00FC341C">
        <w:rPr>
          <w:sz w:val="21"/>
          <w:szCs w:val="21"/>
        </w:rPr>
        <w:t xml:space="preserve"> </w:t>
      </w:r>
      <w:r w:rsidR="00CC283E">
        <w:rPr>
          <w:sz w:val="21"/>
          <w:szCs w:val="21"/>
        </w:rPr>
        <w:t>für den stationären Fachh</w:t>
      </w:r>
      <w:r w:rsidR="007029EA">
        <w:rPr>
          <w:sz w:val="21"/>
          <w:szCs w:val="21"/>
        </w:rPr>
        <w:t>andel</w:t>
      </w:r>
      <w:r w:rsidR="002F2992">
        <w:rPr>
          <w:sz w:val="21"/>
          <w:szCs w:val="21"/>
        </w:rPr>
        <w:t xml:space="preserve"> und schätzt fo</w:t>
      </w:r>
      <w:r w:rsidR="00CC283E">
        <w:rPr>
          <w:sz w:val="21"/>
          <w:szCs w:val="21"/>
        </w:rPr>
        <w:t>lgende Schwerpunkte kritisch ein</w:t>
      </w:r>
      <w:r w:rsidRPr="00FC341C">
        <w:rPr>
          <w:sz w:val="21"/>
          <w:szCs w:val="21"/>
        </w:rPr>
        <w:t>:</w:t>
      </w:r>
    </w:p>
    <w:p w:rsidR="00AF708E" w:rsidRPr="00AF708E" w:rsidRDefault="00AF708E" w:rsidP="00AF708E">
      <w:pPr>
        <w:pStyle w:val="Listenabsatz"/>
        <w:numPr>
          <w:ilvl w:val="0"/>
          <w:numId w:val="2"/>
        </w:numPr>
        <w:spacing w:before="120" w:line="360" w:lineRule="auto"/>
        <w:ind w:left="709" w:right="-28" w:hanging="283"/>
        <w:jc w:val="both"/>
        <w:rPr>
          <w:sz w:val="21"/>
          <w:szCs w:val="21"/>
        </w:rPr>
      </w:pPr>
      <w:r w:rsidRPr="00AF708E">
        <w:rPr>
          <w:sz w:val="21"/>
          <w:szCs w:val="21"/>
        </w:rPr>
        <w:lastRenderedPageBreak/>
        <w:t>Ausweitung des Geltungsbereichs auf alle in Deu</w:t>
      </w:r>
      <w:r w:rsidR="007029EA">
        <w:rPr>
          <w:sz w:val="21"/>
          <w:szCs w:val="21"/>
        </w:rPr>
        <w:t>tschland ansässigen Unternehmen</w:t>
      </w:r>
    </w:p>
    <w:p w:rsidR="00AF708E" w:rsidRPr="00AF708E" w:rsidRDefault="00AF708E" w:rsidP="00AF708E">
      <w:pPr>
        <w:pStyle w:val="Listenabsatz"/>
        <w:numPr>
          <w:ilvl w:val="0"/>
          <w:numId w:val="2"/>
        </w:numPr>
        <w:spacing w:before="120" w:line="360" w:lineRule="auto"/>
        <w:ind w:left="709" w:right="-28" w:hanging="283"/>
        <w:jc w:val="both"/>
        <w:rPr>
          <w:sz w:val="21"/>
          <w:szCs w:val="21"/>
        </w:rPr>
      </w:pPr>
      <w:r w:rsidRPr="00AF708E">
        <w:rPr>
          <w:sz w:val="21"/>
          <w:szCs w:val="21"/>
        </w:rPr>
        <w:t>Erweiterte Haftungsregeln</w:t>
      </w:r>
    </w:p>
    <w:p w:rsidR="00AF708E" w:rsidRPr="002F2992" w:rsidRDefault="002F2992" w:rsidP="00AF708E">
      <w:pPr>
        <w:pStyle w:val="Listenabsatz"/>
        <w:numPr>
          <w:ilvl w:val="0"/>
          <w:numId w:val="2"/>
        </w:numPr>
        <w:spacing w:before="120" w:line="360" w:lineRule="auto"/>
        <w:ind w:left="709" w:right="-28" w:hanging="283"/>
        <w:jc w:val="both"/>
        <w:rPr>
          <w:sz w:val="21"/>
          <w:szCs w:val="21"/>
        </w:rPr>
      </w:pPr>
      <w:r w:rsidRPr="002F2992">
        <w:rPr>
          <w:sz w:val="21"/>
          <w:szCs w:val="21"/>
        </w:rPr>
        <w:t>Bezugnahme auf einen verabschiedeten EU-Parlamentsbericht</w:t>
      </w:r>
    </w:p>
    <w:p w:rsidR="00FC341C" w:rsidRPr="00FC341C" w:rsidRDefault="007029EA" w:rsidP="00195FBC">
      <w:pPr>
        <w:spacing w:before="120" w:line="360" w:lineRule="auto"/>
        <w:ind w:right="-28"/>
        <w:jc w:val="both"/>
        <w:rPr>
          <w:sz w:val="21"/>
          <w:szCs w:val="21"/>
        </w:rPr>
      </w:pPr>
      <w:r w:rsidRPr="002F2992">
        <w:rPr>
          <w:sz w:val="21"/>
          <w:szCs w:val="21"/>
        </w:rPr>
        <w:t>„</w:t>
      </w:r>
      <w:r w:rsidR="00C508B3">
        <w:rPr>
          <w:sz w:val="21"/>
          <w:szCs w:val="21"/>
        </w:rPr>
        <w:t>Eine potenz</w:t>
      </w:r>
      <w:r w:rsidR="00FC341C" w:rsidRPr="002F2992">
        <w:rPr>
          <w:sz w:val="21"/>
          <w:szCs w:val="21"/>
        </w:rPr>
        <w:t xml:space="preserve">ielle zivilrechtliche Haftung für das Verhalten von </w:t>
      </w:r>
      <w:r w:rsidR="00FC341C" w:rsidRPr="00FC341C">
        <w:rPr>
          <w:sz w:val="21"/>
          <w:szCs w:val="21"/>
        </w:rPr>
        <w:t xml:space="preserve">unabhängigen Geschäftspartnern und Dritten widerspricht den UN-Leitprinzipien und dem </w:t>
      </w:r>
      <w:r w:rsidR="00AF708E">
        <w:rPr>
          <w:sz w:val="21"/>
          <w:szCs w:val="21"/>
        </w:rPr>
        <w:t xml:space="preserve">Nationalen </w:t>
      </w:r>
      <w:r>
        <w:rPr>
          <w:sz w:val="21"/>
          <w:szCs w:val="21"/>
        </w:rPr>
        <w:t>Aktionsplan Wirtschaft (</w:t>
      </w:r>
      <w:r w:rsidR="00FC341C" w:rsidRPr="00FC341C">
        <w:rPr>
          <w:sz w:val="21"/>
          <w:szCs w:val="21"/>
        </w:rPr>
        <w:t>NAP</w:t>
      </w:r>
      <w:r>
        <w:rPr>
          <w:sz w:val="21"/>
          <w:szCs w:val="21"/>
        </w:rPr>
        <w:t>)</w:t>
      </w:r>
      <w:r w:rsidR="00FC341C" w:rsidRPr="00FC341C">
        <w:rPr>
          <w:sz w:val="21"/>
          <w:szCs w:val="21"/>
        </w:rPr>
        <w:t>. Aus dies</w:t>
      </w:r>
      <w:r>
        <w:rPr>
          <w:sz w:val="21"/>
          <w:szCs w:val="21"/>
        </w:rPr>
        <w:t>em Grund ist dieser Ansatz</w:t>
      </w:r>
      <w:r w:rsidR="00FC341C" w:rsidRPr="00FC341C">
        <w:rPr>
          <w:sz w:val="21"/>
          <w:szCs w:val="21"/>
        </w:rPr>
        <w:t xml:space="preserve"> abzulehnen. Sämtliche Sorgfaltspflichten sollten auf unmittelbare Zulieferer beschränkt wer</w:t>
      </w:r>
      <w:r w:rsidR="002F2992">
        <w:rPr>
          <w:sz w:val="21"/>
          <w:szCs w:val="21"/>
        </w:rPr>
        <w:t>den. Deutschland hat</w:t>
      </w:r>
      <w:r w:rsidR="00FC341C" w:rsidRPr="00FC341C">
        <w:rPr>
          <w:sz w:val="21"/>
          <w:szCs w:val="21"/>
        </w:rPr>
        <w:t xml:space="preserve"> einen der höchsten Menschenrecht</w:t>
      </w:r>
      <w:r>
        <w:rPr>
          <w:sz w:val="21"/>
          <w:szCs w:val="21"/>
        </w:rPr>
        <w:t xml:space="preserve">s- und Umweltstandards weltweit“, führt Christian Haeser weiter aus. </w:t>
      </w:r>
    </w:p>
    <w:p w:rsidR="00CD670C" w:rsidRDefault="00CD670C" w:rsidP="00195FBC">
      <w:pPr>
        <w:spacing w:before="120" w:line="240" w:lineRule="exact"/>
        <w:ind w:right="-28"/>
        <w:jc w:val="both"/>
        <w:rPr>
          <w:sz w:val="18"/>
          <w:szCs w:val="18"/>
        </w:rPr>
      </w:pPr>
    </w:p>
    <w:p w:rsidR="00CD670C" w:rsidRPr="00CD670C" w:rsidRDefault="00CD670C" w:rsidP="00195FBC">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195FBC">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CD670C" w:rsidRDefault="00CD670C" w:rsidP="00195FBC">
      <w:pPr>
        <w:spacing w:before="120" w:line="240" w:lineRule="exact"/>
        <w:ind w:right="-28"/>
        <w:jc w:val="both"/>
        <w:rPr>
          <w:sz w:val="18"/>
          <w:szCs w:val="18"/>
        </w:rPr>
      </w:pPr>
    </w:p>
    <w:sectPr w:rsidR="00CD670C" w:rsidRPr="00CD670C" w:rsidSect="00967899">
      <w:headerReference w:type="default" r:id="rId10"/>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1C" w:rsidRDefault="00FC341C">
      <w:r>
        <w:separator/>
      </w:r>
    </w:p>
  </w:endnote>
  <w:endnote w:type="continuationSeparator" w:id="0">
    <w:p w:rsidR="00FC341C" w:rsidRDefault="00FC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1C" w:rsidRDefault="00FC341C">
      <w:r>
        <w:separator/>
      </w:r>
    </w:p>
  </w:footnote>
  <w:footnote w:type="continuationSeparator" w:id="0">
    <w:p w:rsidR="00FC341C" w:rsidRDefault="00FC34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661C16">
          <w:rPr>
            <w:noProof/>
          </w:rPr>
          <w:t>2</w:t>
        </w:r>
        <w:r>
          <w:rPr>
            <w:noProof/>
          </w:rPr>
          <w:fldChar w:fldCharType="end"/>
        </w:r>
      </w:p>
    </w:sdtContent>
  </w:sdt>
  <w:p w:rsidR="001B2D9C" w:rsidRDefault="001B2D9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27F39"/>
    <w:multiLevelType w:val="hybridMultilevel"/>
    <w:tmpl w:val="016ABBC2"/>
    <w:lvl w:ilvl="0" w:tplc="63DA0B12">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05435E"/>
    <w:multiLevelType w:val="hybridMultilevel"/>
    <w:tmpl w:val="53BA6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1C"/>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0C4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95FBC"/>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2992"/>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31E"/>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1C16"/>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29EA"/>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839CA"/>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AF708E"/>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08B3"/>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83E"/>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341C"/>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2EE58C"/>
  <w15:docId w15:val="{145846B3-EAF9-4D56-B167-EB438A76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paragraph" w:styleId="Listenabsatz">
    <w:name w:val="List Paragraph"/>
    <w:basedOn w:val="Standard"/>
    <w:uiPriority w:val="34"/>
    <w:qFormat/>
    <w:rsid w:val="00AF7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T:\VORLAGEN\HWB_ADJ.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B540-CF8C-47F9-BC5D-BB68E2D7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417</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2</cp:revision>
  <cp:lastPrinted>2021-05-05T10:15:00Z</cp:lastPrinted>
  <dcterms:created xsi:type="dcterms:W3CDTF">2021-05-05T07:22:00Z</dcterms:created>
  <dcterms:modified xsi:type="dcterms:W3CDTF">2021-05-05T10:15:00Z</dcterms:modified>
  <cp:contentStatus/>
</cp:coreProperties>
</file>